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08DC2D" w14:textId="77777777" w:rsidR="00CC603A" w:rsidRPr="00CC603A" w:rsidRDefault="00CC603A" w:rsidP="00CC603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CC603A">
        <w:rPr>
          <w:rFonts w:ascii="Arial" w:hAnsi="Arial" w:cs="Arial"/>
          <w:b/>
          <w:sz w:val="32"/>
          <w:szCs w:val="32"/>
        </w:rPr>
        <w:t>Handouts and Suggested Readings</w:t>
      </w:r>
    </w:p>
    <w:p w14:paraId="3EF36D55" w14:textId="77777777" w:rsidR="00CC603A" w:rsidRDefault="00CC603A" w:rsidP="00CC031D">
      <w:pPr>
        <w:widowControl w:val="0"/>
        <w:autoSpaceDE w:val="0"/>
        <w:autoSpaceDN w:val="0"/>
        <w:adjustRightInd w:val="0"/>
        <w:rPr>
          <w:rFonts w:ascii="Arial" w:hAnsi="Arial" w:cs="Arial"/>
          <w:sz w:val="32"/>
          <w:szCs w:val="32"/>
        </w:rPr>
      </w:pPr>
    </w:p>
    <w:p w14:paraId="1BB63E8E" w14:textId="77777777" w:rsidR="00CC031D" w:rsidRDefault="00CC031D" w:rsidP="00CC031D">
      <w:pPr>
        <w:widowControl w:val="0"/>
        <w:autoSpaceDE w:val="0"/>
        <w:autoSpaceDN w:val="0"/>
        <w:adjustRightInd w:val="0"/>
        <w:rPr>
          <w:rFonts w:ascii="Calibri" w:hAnsi="Calibri" w:cs="Calibri"/>
          <w:sz w:val="30"/>
          <w:szCs w:val="30"/>
        </w:rPr>
      </w:pPr>
      <w:r>
        <w:rPr>
          <w:rFonts w:ascii="Arial" w:hAnsi="Arial" w:cs="Arial"/>
          <w:sz w:val="32"/>
          <w:szCs w:val="32"/>
        </w:rPr>
        <w:t>“</w:t>
      </w:r>
      <w:hyperlink r:id="rId5" w:history="1">
        <w:r w:rsidRPr="00CC603A">
          <w:rPr>
            <w:rStyle w:val="Hyperlink"/>
            <w:rFonts w:ascii="Arial" w:hAnsi="Arial" w:cs="Arial"/>
            <w:sz w:val="32"/>
            <w:szCs w:val="32"/>
          </w:rPr>
          <w:t>White Fragility</w:t>
        </w:r>
      </w:hyperlink>
      <w:bookmarkStart w:id="0" w:name="_GoBack"/>
      <w:bookmarkEnd w:id="0"/>
      <w:r>
        <w:rPr>
          <w:rFonts w:ascii="Arial" w:hAnsi="Arial" w:cs="Arial"/>
          <w:sz w:val="32"/>
          <w:szCs w:val="32"/>
        </w:rPr>
        <w:t xml:space="preserve">”, by Robin </w:t>
      </w:r>
      <w:proofErr w:type="spellStart"/>
      <w:r>
        <w:rPr>
          <w:rFonts w:ascii="Arial" w:hAnsi="Arial" w:cs="Arial"/>
          <w:sz w:val="32"/>
          <w:szCs w:val="32"/>
        </w:rPr>
        <w:t>DiAngelo</w:t>
      </w:r>
      <w:proofErr w:type="spellEnd"/>
      <w:r>
        <w:rPr>
          <w:rFonts w:ascii="Arial" w:hAnsi="Arial" w:cs="Arial"/>
          <w:sz w:val="32"/>
          <w:szCs w:val="32"/>
        </w:rPr>
        <w:t xml:space="preserve"> </w:t>
      </w:r>
    </w:p>
    <w:p w14:paraId="398A9DE9" w14:textId="77777777" w:rsidR="00CC031D" w:rsidRDefault="00CC031D" w:rsidP="00CC031D">
      <w:pPr>
        <w:widowControl w:val="0"/>
        <w:autoSpaceDE w:val="0"/>
        <w:autoSpaceDN w:val="0"/>
        <w:adjustRightInd w:val="0"/>
        <w:rPr>
          <w:rFonts w:ascii="Calibri" w:hAnsi="Calibri" w:cs="Calibri"/>
          <w:sz w:val="30"/>
          <w:szCs w:val="30"/>
        </w:rPr>
      </w:pPr>
      <w:r>
        <w:rPr>
          <w:rFonts w:ascii="Arial" w:hAnsi="Arial" w:cs="Arial"/>
          <w:sz w:val="32"/>
          <w:szCs w:val="32"/>
        </w:rPr>
        <w:t> </w:t>
      </w:r>
    </w:p>
    <w:p w14:paraId="15D8C2B2" w14:textId="77777777" w:rsidR="00CC031D" w:rsidRDefault="00CC031D" w:rsidP="00CC031D">
      <w:pPr>
        <w:widowControl w:val="0"/>
        <w:autoSpaceDE w:val="0"/>
        <w:autoSpaceDN w:val="0"/>
        <w:adjustRightInd w:val="0"/>
        <w:rPr>
          <w:rFonts w:ascii="Calibri" w:hAnsi="Calibri" w:cs="Calibri"/>
          <w:sz w:val="30"/>
          <w:szCs w:val="30"/>
        </w:rPr>
      </w:pPr>
      <w:r>
        <w:rPr>
          <w:rFonts w:ascii="Arial" w:hAnsi="Arial" w:cs="Arial"/>
          <w:sz w:val="32"/>
          <w:szCs w:val="32"/>
        </w:rPr>
        <w:t xml:space="preserve">“A Leader’s Guide to Strengthen Unions: Moving Beyond Diversity Towards Inclusion and Equity”, Toronto &amp; York Region </w:t>
      </w:r>
      <w:proofErr w:type="spellStart"/>
      <w:r>
        <w:rPr>
          <w:rFonts w:ascii="Arial" w:hAnsi="Arial" w:cs="Arial"/>
          <w:sz w:val="32"/>
          <w:szCs w:val="32"/>
        </w:rPr>
        <w:t>Labour</w:t>
      </w:r>
      <w:proofErr w:type="spellEnd"/>
      <w:r>
        <w:rPr>
          <w:rFonts w:ascii="Arial" w:hAnsi="Arial" w:cs="Arial"/>
          <w:sz w:val="32"/>
          <w:szCs w:val="32"/>
        </w:rPr>
        <w:t xml:space="preserve"> Council: </w:t>
      </w:r>
      <w:hyperlink r:id="rId6" w:history="1">
        <w:r>
          <w:rPr>
            <w:rFonts w:ascii="Arial" w:hAnsi="Arial" w:cs="Arial"/>
            <w:color w:val="0000FF"/>
            <w:sz w:val="32"/>
            <w:szCs w:val="32"/>
            <w:u w:val="single" w:color="0000FF"/>
          </w:rPr>
          <w:t>http://www.labourcouncil.ca/uploads/8/8/6/1/8861416/equity_handbook.pdf</w:t>
        </w:r>
      </w:hyperlink>
    </w:p>
    <w:p w14:paraId="37B1F258" w14:textId="77777777" w:rsidR="00CC031D" w:rsidRDefault="00CC031D" w:rsidP="00CC031D">
      <w:pPr>
        <w:widowControl w:val="0"/>
        <w:autoSpaceDE w:val="0"/>
        <w:autoSpaceDN w:val="0"/>
        <w:adjustRightInd w:val="0"/>
        <w:rPr>
          <w:rFonts w:ascii="Calibri" w:hAnsi="Calibri" w:cs="Calibri"/>
          <w:sz w:val="30"/>
          <w:szCs w:val="30"/>
        </w:rPr>
      </w:pPr>
      <w:r>
        <w:rPr>
          <w:rFonts w:ascii="Arial" w:hAnsi="Arial" w:cs="Arial"/>
          <w:sz w:val="32"/>
          <w:szCs w:val="32"/>
        </w:rPr>
        <w:t> </w:t>
      </w:r>
    </w:p>
    <w:p w14:paraId="40AADEFA" w14:textId="77777777" w:rsidR="00CC031D" w:rsidRDefault="00CC031D" w:rsidP="00CC031D">
      <w:pPr>
        <w:widowControl w:val="0"/>
        <w:autoSpaceDE w:val="0"/>
        <w:autoSpaceDN w:val="0"/>
        <w:adjustRightInd w:val="0"/>
        <w:rPr>
          <w:rFonts w:ascii="Calibri" w:hAnsi="Calibri" w:cs="Calibri"/>
          <w:sz w:val="30"/>
          <w:szCs w:val="30"/>
        </w:rPr>
      </w:pPr>
      <w:r>
        <w:rPr>
          <w:rFonts w:ascii="Arial" w:hAnsi="Arial" w:cs="Arial"/>
          <w:sz w:val="32"/>
          <w:szCs w:val="32"/>
        </w:rPr>
        <w:t xml:space="preserve">“If I Had My Way”, by Winnie Ng, </w:t>
      </w:r>
      <w:r>
        <w:rPr>
          <w:rFonts w:ascii="Arial" w:hAnsi="Arial" w:cs="Arial"/>
          <w:i/>
          <w:iCs/>
          <w:sz w:val="32"/>
          <w:szCs w:val="32"/>
        </w:rPr>
        <w:t>Our Times</w:t>
      </w:r>
      <w:r>
        <w:rPr>
          <w:rFonts w:ascii="Arial" w:hAnsi="Arial" w:cs="Arial"/>
          <w:sz w:val="32"/>
          <w:szCs w:val="32"/>
        </w:rPr>
        <w:t xml:space="preserve"> magazine: </w:t>
      </w:r>
      <w:hyperlink r:id="rId7" w:history="1">
        <w:r>
          <w:rPr>
            <w:rFonts w:ascii="Arial" w:hAnsi="Arial" w:cs="Arial"/>
            <w:color w:val="0000FF"/>
            <w:sz w:val="32"/>
            <w:szCs w:val="32"/>
            <w:u w:val="single" w:color="0000FF"/>
          </w:rPr>
          <w:t>http://ourtimes.ca/Featured_Story/printer_449.php</w:t>
        </w:r>
      </w:hyperlink>
    </w:p>
    <w:p w14:paraId="763901D2" w14:textId="77777777" w:rsidR="00CC031D" w:rsidRDefault="00CC031D" w:rsidP="00CC031D">
      <w:pPr>
        <w:widowControl w:val="0"/>
        <w:autoSpaceDE w:val="0"/>
        <w:autoSpaceDN w:val="0"/>
        <w:adjustRightInd w:val="0"/>
        <w:rPr>
          <w:rFonts w:ascii="Calibri" w:hAnsi="Calibri" w:cs="Calibri"/>
          <w:sz w:val="30"/>
          <w:szCs w:val="30"/>
        </w:rPr>
      </w:pPr>
      <w:r>
        <w:rPr>
          <w:rFonts w:ascii="Arial" w:hAnsi="Arial" w:cs="Arial"/>
          <w:sz w:val="32"/>
          <w:szCs w:val="32"/>
        </w:rPr>
        <w:t> </w:t>
      </w:r>
    </w:p>
    <w:p w14:paraId="0407CFCD" w14:textId="77777777" w:rsidR="00CC031D" w:rsidRDefault="00CC031D" w:rsidP="00CC031D">
      <w:pPr>
        <w:widowControl w:val="0"/>
        <w:autoSpaceDE w:val="0"/>
        <w:autoSpaceDN w:val="0"/>
        <w:adjustRightInd w:val="0"/>
        <w:rPr>
          <w:rFonts w:ascii="Calibri" w:hAnsi="Calibri" w:cs="Calibri"/>
          <w:sz w:val="30"/>
          <w:szCs w:val="30"/>
        </w:rPr>
      </w:pPr>
      <w:r>
        <w:rPr>
          <w:rFonts w:ascii="Arial" w:hAnsi="Arial" w:cs="Arial"/>
          <w:sz w:val="32"/>
          <w:szCs w:val="32"/>
        </w:rPr>
        <w:t xml:space="preserve">AFL-CIO Labor Commission on Racial and Economic Justice: </w:t>
      </w:r>
      <w:hyperlink r:id="rId8" w:history="1">
        <w:r>
          <w:rPr>
            <w:rFonts w:ascii="Arial" w:hAnsi="Arial" w:cs="Arial"/>
            <w:color w:val="0000FF"/>
            <w:sz w:val="32"/>
            <w:szCs w:val="32"/>
            <w:u w:val="single" w:color="0000FF"/>
          </w:rPr>
          <w:t>http://www.aflcio.org/About/Exec-Council/EC-Statements/Labor-Commission-on-Racial-and-Economic-Justice</w:t>
        </w:r>
      </w:hyperlink>
    </w:p>
    <w:p w14:paraId="3ABB9E5A" w14:textId="77777777" w:rsidR="00CC031D" w:rsidRDefault="00CC031D" w:rsidP="00CC031D">
      <w:pPr>
        <w:widowControl w:val="0"/>
        <w:autoSpaceDE w:val="0"/>
        <w:autoSpaceDN w:val="0"/>
        <w:adjustRightInd w:val="0"/>
        <w:rPr>
          <w:rFonts w:ascii="Calibri" w:hAnsi="Calibri" w:cs="Calibri"/>
          <w:sz w:val="30"/>
          <w:szCs w:val="30"/>
        </w:rPr>
      </w:pPr>
      <w:r>
        <w:rPr>
          <w:rFonts w:ascii="Arial" w:hAnsi="Arial" w:cs="Arial"/>
          <w:sz w:val="32"/>
          <w:szCs w:val="32"/>
        </w:rPr>
        <w:t> </w:t>
      </w:r>
    </w:p>
    <w:p w14:paraId="4AB6A2FC" w14:textId="77777777" w:rsidR="00CC031D" w:rsidRDefault="00CC031D" w:rsidP="00CC031D">
      <w:pPr>
        <w:widowControl w:val="0"/>
        <w:autoSpaceDE w:val="0"/>
        <w:autoSpaceDN w:val="0"/>
        <w:adjustRightInd w:val="0"/>
        <w:rPr>
          <w:rFonts w:ascii="Calibri" w:hAnsi="Calibri" w:cs="Calibri"/>
          <w:sz w:val="30"/>
          <w:szCs w:val="30"/>
        </w:rPr>
      </w:pPr>
      <w:r>
        <w:rPr>
          <w:rFonts w:ascii="Arial" w:hAnsi="Arial" w:cs="Arial"/>
          <w:sz w:val="32"/>
          <w:szCs w:val="32"/>
        </w:rPr>
        <w:t xml:space="preserve">“Getting Called Out: How to Apologize”, </w:t>
      </w:r>
      <w:proofErr w:type="spellStart"/>
      <w:r>
        <w:rPr>
          <w:rFonts w:ascii="Arial" w:hAnsi="Arial" w:cs="Arial"/>
          <w:sz w:val="32"/>
          <w:szCs w:val="32"/>
        </w:rPr>
        <w:t>Chescaleigh</w:t>
      </w:r>
      <w:proofErr w:type="spellEnd"/>
      <w:r>
        <w:rPr>
          <w:rFonts w:ascii="Arial" w:hAnsi="Arial" w:cs="Arial"/>
          <w:sz w:val="32"/>
          <w:szCs w:val="32"/>
        </w:rPr>
        <w:t xml:space="preserve">, </w:t>
      </w:r>
      <w:hyperlink r:id="rId9" w:history="1">
        <w:r>
          <w:rPr>
            <w:rFonts w:ascii="Arial" w:hAnsi="Arial" w:cs="Arial"/>
            <w:color w:val="0000FF"/>
            <w:sz w:val="32"/>
            <w:szCs w:val="32"/>
            <w:u w:val="single" w:color="0000FF"/>
          </w:rPr>
          <w:t>https://www.youtube.com/watch?v=C8xJXKYL8pU</w:t>
        </w:r>
      </w:hyperlink>
    </w:p>
    <w:p w14:paraId="5B97718A" w14:textId="77777777" w:rsidR="00CC031D" w:rsidRDefault="00CC031D" w:rsidP="00CC031D">
      <w:pPr>
        <w:widowControl w:val="0"/>
        <w:autoSpaceDE w:val="0"/>
        <w:autoSpaceDN w:val="0"/>
        <w:adjustRightInd w:val="0"/>
        <w:rPr>
          <w:rFonts w:ascii="Calibri" w:hAnsi="Calibri" w:cs="Calibri"/>
          <w:sz w:val="30"/>
          <w:szCs w:val="30"/>
        </w:rPr>
      </w:pPr>
      <w:r>
        <w:rPr>
          <w:rFonts w:ascii="Arial" w:hAnsi="Arial" w:cs="Arial"/>
          <w:sz w:val="32"/>
          <w:szCs w:val="32"/>
        </w:rPr>
        <w:t> </w:t>
      </w:r>
    </w:p>
    <w:p w14:paraId="5BEBACB9" w14:textId="77777777" w:rsidR="00CC031D" w:rsidRDefault="00CC031D" w:rsidP="00CC031D">
      <w:pPr>
        <w:widowControl w:val="0"/>
        <w:autoSpaceDE w:val="0"/>
        <w:autoSpaceDN w:val="0"/>
        <w:adjustRightInd w:val="0"/>
        <w:rPr>
          <w:rFonts w:ascii="Calibri" w:hAnsi="Calibri" w:cs="Calibri"/>
          <w:sz w:val="30"/>
          <w:szCs w:val="30"/>
        </w:rPr>
      </w:pPr>
      <w:r>
        <w:rPr>
          <w:rFonts w:ascii="Arial" w:hAnsi="Arial" w:cs="Arial"/>
          <w:sz w:val="32"/>
          <w:szCs w:val="32"/>
        </w:rPr>
        <w:t xml:space="preserve">“Reverse Racism”, </w:t>
      </w:r>
      <w:proofErr w:type="spellStart"/>
      <w:r>
        <w:rPr>
          <w:rFonts w:ascii="Arial" w:hAnsi="Arial" w:cs="Arial"/>
          <w:sz w:val="32"/>
          <w:szCs w:val="32"/>
        </w:rPr>
        <w:t>Aamer</w:t>
      </w:r>
      <w:proofErr w:type="spellEnd"/>
      <w:r>
        <w:rPr>
          <w:rFonts w:ascii="Arial" w:hAnsi="Arial" w:cs="Arial"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sz w:val="32"/>
          <w:szCs w:val="32"/>
        </w:rPr>
        <w:t>Rahman</w:t>
      </w:r>
      <w:proofErr w:type="spellEnd"/>
      <w:r>
        <w:rPr>
          <w:rFonts w:ascii="Arial" w:hAnsi="Arial" w:cs="Arial"/>
          <w:sz w:val="32"/>
          <w:szCs w:val="32"/>
        </w:rPr>
        <w:t xml:space="preserve">, </w:t>
      </w:r>
      <w:hyperlink r:id="rId10" w:history="1">
        <w:r>
          <w:rPr>
            <w:rFonts w:ascii="Arial" w:hAnsi="Arial" w:cs="Arial"/>
            <w:color w:val="0000FF"/>
            <w:sz w:val="32"/>
            <w:szCs w:val="32"/>
            <w:u w:val="single" w:color="0000FF"/>
          </w:rPr>
          <w:t>https://www.youtube.com/watch?v=dw_mRaIHb-M</w:t>
        </w:r>
      </w:hyperlink>
    </w:p>
    <w:p w14:paraId="7B4E1D21" w14:textId="77777777" w:rsidR="00CC031D" w:rsidRDefault="00CC031D" w:rsidP="00CC031D">
      <w:pPr>
        <w:widowControl w:val="0"/>
        <w:autoSpaceDE w:val="0"/>
        <w:autoSpaceDN w:val="0"/>
        <w:adjustRightInd w:val="0"/>
        <w:rPr>
          <w:rFonts w:ascii="Calibri" w:hAnsi="Calibri" w:cs="Calibri"/>
          <w:sz w:val="30"/>
          <w:szCs w:val="30"/>
        </w:rPr>
      </w:pPr>
      <w:r>
        <w:rPr>
          <w:rFonts w:ascii="Arial" w:hAnsi="Arial" w:cs="Arial"/>
          <w:sz w:val="32"/>
          <w:szCs w:val="32"/>
        </w:rPr>
        <w:t> </w:t>
      </w:r>
    </w:p>
    <w:p w14:paraId="7EC078B7" w14:textId="77777777" w:rsidR="00CC031D" w:rsidRDefault="00CC031D" w:rsidP="00CC031D">
      <w:pPr>
        <w:widowControl w:val="0"/>
        <w:autoSpaceDE w:val="0"/>
        <w:autoSpaceDN w:val="0"/>
        <w:adjustRightInd w:val="0"/>
        <w:rPr>
          <w:rFonts w:ascii="Calibri" w:hAnsi="Calibri" w:cs="Calibri"/>
          <w:sz w:val="30"/>
          <w:szCs w:val="30"/>
        </w:rPr>
      </w:pPr>
      <w:r>
        <w:rPr>
          <w:rFonts w:ascii="Arial" w:hAnsi="Arial" w:cs="Arial"/>
          <w:sz w:val="32"/>
          <w:szCs w:val="32"/>
        </w:rPr>
        <w:t xml:space="preserve">“Five Things You Have to Stop Saying (about Aboriginal People)”, </w:t>
      </w:r>
      <w:proofErr w:type="spellStart"/>
      <w:r>
        <w:rPr>
          <w:rFonts w:ascii="Arial" w:hAnsi="Arial" w:cs="Arial"/>
          <w:sz w:val="32"/>
          <w:szCs w:val="32"/>
        </w:rPr>
        <w:t>Wab</w:t>
      </w:r>
      <w:proofErr w:type="spellEnd"/>
      <w:r>
        <w:rPr>
          <w:rFonts w:ascii="Arial" w:hAnsi="Arial" w:cs="Arial"/>
          <w:sz w:val="32"/>
          <w:szCs w:val="32"/>
        </w:rPr>
        <w:t xml:space="preserve"> </w:t>
      </w:r>
      <w:proofErr w:type="spellStart"/>
      <w:r>
        <w:rPr>
          <w:rFonts w:ascii="Arial" w:hAnsi="Arial" w:cs="Arial"/>
          <w:sz w:val="32"/>
          <w:szCs w:val="32"/>
        </w:rPr>
        <w:t>Kinew</w:t>
      </w:r>
      <w:proofErr w:type="spellEnd"/>
      <w:r>
        <w:rPr>
          <w:rFonts w:ascii="Arial" w:hAnsi="Arial" w:cs="Arial"/>
          <w:sz w:val="32"/>
          <w:szCs w:val="32"/>
        </w:rPr>
        <w:t xml:space="preserve">, </w:t>
      </w:r>
      <w:hyperlink r:id="rId11" w:history="1">
        <w:r>
          <w:rPr>
            <w:rFonts w:ascii="Arial" w:hAnsi="Arial" w:cs="Arial"/>
            <w:color w:val="0000FF"/>
            <w:sz w:val="32"/>
            <w:szCs w:val="32"/>
            <w:u w:val="single" w:color="0000FF"/>
          </w:rPr>
          <w:t>https://www.youtube.com/watch?v=GlkuRCXdu5A</w:t>
        </w:r>
      </w:hyperlink>
    </w:p>
    <w:p w14:paraId="38E3FCE4" w14:textId="77777777" w:rsidR="00CC031D" w:rsidRDefault="00CC031D" w:rsidP="00CC031D">
      <w:pPr>
        <w:widowControl w:val="0"/>
        <w:autoSpaceDE w:val="0"/>
        <w:autoSpaceDN w:val="0"/>
        <w:adjustRightInd w:val="0"/>
        <w:rPr>
          <w:rFonts w:ascii="Calibri" w:hAnsi="Calibri" w:cs="Calibri"/>
          <w:sz w:val="30"/>
          <w:szCs w:val="30"/>
        </w:rPr>
      </w:pPr>
      <w:r>
        <w:rPr>
          <w:rFonts w:ascii="Arial" w:hAnsi="Arial" w:cs="Arial"/>
          <w:sz w:val="32"/>
          <w:szCs w:val="32"/>
        </w:rPr>
        <w:t> </w:t>
      </w:r>
    </w:p>
    <w:p w14:paraId="1D698CC6" w14:textId="77777777" w:rsidR="00CC031D" w:rsidRDefault="00CC031D" w:rsidP="00CC031D">
      <w:pPr>
        <w:widowControl w:val="0"/>
        <w:autoSpaceDE w:val="0"/>
        <w:autoSpaceDN w:val="0"/>
        <w:adjustRightInd w:val="0"/>
        <w:rPr>
          <w:rFonts w:ascii="Calibri" w:hAnsi="Calibri" w:cs="Calibri"/>
          <w:sz w:val="30"/>
          <w:szCs w:val="30"/>
        </w:rPr>
      </w:pPr>
      <w:r>
        <w:rPr>
          <w:rFonts w:ascii="Arial" w:hAnsi="Arial" w:cs="Arial"/>
          <w:sz w:val="32"/>
          <w:szCs w:val="32"/>
        </w:rPr>
        <w:t xml:space="preserve">“How to Tell Someone They Sound Racist, Jay Smooth, </w:t>
      </w:r>
      <w:hyperlink r:id="rId12" w:history="1">
        <w:r>
          <w:rPr>
            <w:rFonts w:ascii="Arial" w:hAnsi="Arial" w:cs="Arial"/>
            <w:color w:val="0000FF"/>
            <w:sz w:val="32"/>
            <w:szCs w:val="32"/>
            <w:u w:val="single" w:color="0000FF"/>
          </w:rPr>
          <w:t>https://www.youtube.com/watch?v=b0Ti-gkJiXc</w:t>
        </w:r>
      </w:hyperlink>
    </w:p>
    <w:p w14:paraId="754A4884" w14:textId="77777777" w:rsidR="00CC031D" w:rsidRDefault="00CC031D" w:rsidP="00CC031D">
      <w:pPr>
        <w:widowControl w:val="0"/>
        <w:autoSpaceDE w:val="0"/>
        <w:autoSpaceDN w:val="0"/>
        <w:adjustRightInd w:val="0"/>
        <w:rPr>
          <w:rFonts w:ascii="Calibri" w:hAnsi="Calibri" w:cs="Calibri"/>
          <w:sz w:val="30"/>
          <w:szCs w:val="30"/>
        </w:rPr>
      </w:pPr>
      <w:r>
        <w:rPr>
          <w:rFonts w:ascii="Arial" w:hAnsi="Arial" w:cs="Arial"/>
          <w:sz w:val="32"/>
          <w:szCs w:val="32"/>
        </w:rPr>
        <w:t> </w:t>
      </w:r>
    </w:p>
    <w:p w14:paraId="3DCCDFD2" w14:textId="77777777" w:rsidR="0082528F" w:rsidRDefault="0082528F" w:rsidP="00CC031D"/>
    <w:sectPr w:rsidR="0082528F" w:rsidSect="00C402AC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31D"/>
    <w:rsid w:val="0082528F"/>
    <w:rsid w:val="00C402AC"/>
    <w:rsid w:val="00CC031D"/>
    <w:rsid w:val="00CC6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oNotEmbedSmartTags/>
  <w:decimalSymbol w:val="."/>
  <w:listSeparator w:val=","/>
  <w14:docId w14:val="36EF57F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Theme="minorEastAsia" w:hAnsi="Times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C60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Theme="minorEastAsia" w:hAnsi="Times" w:cs="Times New Roman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C60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s://www.youtube.com/watch?v=GlkuRCXdu5A" TargetMode="External"/><Relationship Id="rId12" Type="http://schemas.openxmlformats.org/officeDocument/2006/relationships/hyperlink" Target="https://www.youtube.com/watch?v=b0Ti-gkJiXc" TargetMode="Externa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libjournal.uncg.edu/ijcp/article/viewFile/249/116" TargetMode="External"/><Relationship Id="rId6" Type="http://schemas.openxmlformats.org/officeDocument/2006/relationships/hyperlink" Target="http://www.labourcouncil.ca/uploads/8/8/6/1/8861416/equity_handbook.pdf" TargetMode="External"/><Relationship Id="rId7" Type="http://schemas.openxmlformats.org/officeDocument/2006/relationships/hyperlink" Target="http://ourtimes.ca/Featured_Story/printer_449.php" TargetMode="External"/><Relationship Id="rId8" Type="http://schemas.openxmlformats.org/officeDocument/2006/relationships/hyperlink" Target="http://www.aflcio.org/About/Exec-Council/EC-Statements/Labor-Commission-on-Racial-and-Economic-Justice" TargetMode="External"/><Relationship Id="rId9" Type="http://schemas.openxmlformats.org/officeDocument/2006/relationships/hyperlink" Target="https://www.youtube.com/watch?v=C8xJXKYL8pU" TargetMode="External"/><Relationship Id="rId10" Type="http://schemas.openxmlformats.org/officeDocument/2006/relationships/hyperlink" Target="https://www.youtube.com/watch?v=dw_mRaIHb-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228</Words>
  <Characters>1304</Characters>
  <Application>Microsoft Macintosh Word</Application>
  <DocSecurity>0</DocSecurity>
  <Lines>10</Lines>
  <Paragraphs>3</Paragraphs>
  <ScaleCrop>false</ScaleCrop>
  <Company>UMass Boston</Company>
  <LinksUpToDate>false</LinksUpToDate>
  <CharactersWithSpaces>1529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Tess Ewing</dc:creator>
  <cp:keywords/>
  <dc:description/>
  <cp:lastModifiedBy>Tess Ewing</cp:lastModifiedBy>
  <cp:revision>2</cp:revision>
  <dcterms:created xsi:type="dcterms:W3CDTF">2016-04-18T20:30:00Z</dcterms:created>
  <dcterms:modified xsi:type="dcterms:W3CDTF">2016-04-19T17:48:00Z</dcterms:modified>
</cp:coreProperties>
</file>